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Sequence of Activities </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Icebreakers: </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project was introduced in a synchronous meeting with all students present. From there, they were paired in groups with peers in other institutions and were required to exchange information. At the end of the project, the students were required to communicate their rationale for why the outcome pertained to the culture and environment.</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Engagement: </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used class time and outside of class time to engage and interview their peers.</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Collaboration: </w:t>
      </w:r>
    </w:p>
    <w:p w:rsidR="00000000" w:rsidDel="00000000" w:rsidP="00000000" w:rsidRDefault="00000000" w:rsidRPr="00000000" w14:paraId="0000000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used class time and outside of class time to engage and interview their peers.</w:t>
      </w:r>
    </w:p>
    <w:p w:rsidR="00000000" w:rsidDel="00000000" w:rsidP="00000000" w:rsidRDefault="00000000" w:rsidRPr="00000000" w14:paraId="00000009">
      <w:pPr>
        <w:spacing w:after="240" w:before="240" w:lineRule="auto"/>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Reflection: </w:t>
      </w:r>
    </w:p>
    <w:p w:rsidR="00000000" w:rsidDel="00000000" w:rsidP="00000000" w:rsidRDefault="00000000" w:rsidRPr="00000000" w14:paraId="0000000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outcome of the project. Finally, a Padlet was developed to share all projects between students for further exploration and discussion.</w:t>
      </w:r>
    </w:p>
    <w:p w:rsidR="00000000" w:rsidDel="00000000" w:rsidP="00000000" w:rsidRDefault="00000000" w:rsidRPr="00000000" w14:paraId="0000000B">
      <w:pPr>
        <w:rPr>
          <w:rFonts w:ascii="Times New Roman" w:cs="Times New Roman" w:eastAsia="Times New Roman" w:hAnsi="Times New Roman"/>
          <w:b w:val="1"/>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